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lang w:val="en-US" w:eastAsia="zh-CN"/>
        </w:rPr>
      </w:pPr>
      <w:bookmarkStart w:id="0" w:name="_Toc193024528"/>
      <w:r>
        <w:rPr>
          <w:rFonts w:ascii="Arial" w:hAnsi="Arial" w:cs="Arial"/>
          <w:b/>
          <w:sz w:val="24"/>
          <w:szCs w:val="24"/>
        </w:rPr>
        <w:t>3GPP TSG-RAN WG4 Meeting # 9</w:t>
      </w:r>
      <w:r>
        <w:rPr>
          <w:rFonts w:hint="eastAsia" w:eastAsia="宋体" w:cs="Arial"/>
          <w:b/>
          <w:sz w:val="24"/>
          <w:szCs w:val="24"/>
          <w:lang w:val="en-US" w:eastAsia="zh-CN"/>
        </w:rPr>
        <w:t>7</w:t>
      </w:r>
      <w:r>
        <w:rPr>
          <w:rFonts w:ascii="Arial" w:hAnsi="Arial" w:cs="Arial"/>
          <w:b/>
          <w:sz w:val="24"/>
          <w:szCs w:val="24"/>
        </w:rPr>
        <w:t xml:space="preserve">-e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15039</w:t>
      </w:r>
      <w:bookmarkStart w:id="2" w:name="_GoBack"/>
      <w:bookmarkEnd w:id="2"/>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 xml:space="preserve">Electronic Meeting, </w:t>
      </w:r>
      <w:r>
        <w:rPr>
          <w:rFonts w:hint="eastAsia" w:cs="Arial"/>
          <w:b/>
          <w:sz w:val="24"/>
          <w:szCs w:val="24"/>
          <w:lang w:val="en-US" w:eastAsia="zh-CN"/>
        </w:rPr>
        <w:t>2</w:t>
      </w:r>
      <w:r>
        <w:rPr>
          <w:rFonts w:ascii="Arial" w:hAnsi="Arial" w:cs="Arial"/>
          <w:b/>
          <w:sz w:val="24"/>
          <w:szCs w:val="24"/>
          <w:lang w:eastAsia="zh-CN"/>
        </w:rPr>
        <w:t>-</w:t>
      </w:r>
      <w:r>
        <w:rPr>
          <w:rFonts w:hint="eastAsia" w:cs="Arial"/>
          <w:b/>
          <w:sz w:val="24"/>
          <w:szCs w:val="24"/>
          <w:lang w:val="en-US" w:eastAsia="zh-CN"/>
        </w:rPr>
        <w:t>13</w:t>
      </w:r>
      <w:r>
        <w:rPr>
          <w:rFonts w:ascii="Arial" w:hAnsi="Arial" w:cs="Arial"/>
          <w:b/>
          <w:sz w:val="24"/>
          <w:szCs w:val="24"/>
          <w:lang w:eastAsia="zh-CN"/>
        </w:rPr>
        <w:t xml:space="preserve"> </w:t>
      </w:r>
      <w:r>
        <w:rPr>
          <w:rFonts w:hint="eastAsia" w:cs="Arial"/>
          <w:b/>
          <w:sz w:val="24"/>
          <w:szCs w:val="24"/>
          <w:lang w:val="en-US" w:eastAsia="zh-CN"/>
        </w:rPr>
        <w:t>Nov</w:t>
      </w:r>
      <w:r>
        <w:rPr>
          <w:rFonts w:ascii="Arial" w:hAnsi="Arial" w:cs="Arial"/>
          <w:b/>
          <w:sz w:val="24"/>
          <w:szCs w:val="24"/>
          <w:lang w:eastAsia="zh-CN"/>
        </w:rPr>
        <w:t>., 2020</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On MSD for PC2 n41-n79 NR inter-band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10.1</w:t>
      </w:r>
      <w:r>
        <w:rPr>
          <w:rFonts w:hint="eastAsia" w:cs="Arial"/>
          <w:b w:val="0"/>
          <w:bCs/>
          <w:sz w:val="22"/>
          <w:szCs w:val="22"/>
          <w:lang w:val="en-US" w:eastAsia="zh-CN"/>
        </w:rPr>
        <w:t>8</w:t>
      </w:r>
      <w:r>
        <w:rPr>
          <w:rFonts w:hint="eastAsia" w:ascii="Arial" w:hAnsi="Arial" w:cs="Arial"/>
          <w:b w:val="0"/>
          <w:bCs/>
          <w:sz w:val="22"/>
          <w:szCs w:val="22"/>
          <w:lang w:val="en-US" w:eastAsia="zh-CN"/>
        </w:rPr>
        <w:t>.</w:t>
      </w:r>
      <w:r>
        <w:rPr>
          <w:rFonts w:hint="eastAsia" w:cs="Arial"/>
          <w:b w:val="0"/>
          <w:bCs/>
          <w:sz w:val="22"/>
          <w:szCs w:val="22"/>
          <w:lang w:val="en-US" w:eastAsia="zh-CN"/>
        </w:rPr>
        <w:t>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The PC2 NR inter-band CA n41-n79 is used as example PC2 TDD+TDD band combination in the revised WID[1]. For PC2 TDD-TDD NR inter-band CA, there are four cases for the power allocation for each bands, which is:</w:t>
      </w:r>
    </w:p>
    <w:tbl>
      <w:tblPr>
        <w:tblStyle w:val="76"/>
        <w:tblW w:w="0" w:type="auto"/>
        <w:tblInd w:w="1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2115"/>
        <w:gridCol w:w="213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p>
        </w:tc>
        <w:tc>
          <w:tcPr>
            <w:tcW w:w="2115"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lang w:eastAsia="zh-CN"/>
              </w:rPr>
              <w:t xml:space="preserve">UE </w:t>
            </w:r>
            <w:r>
              <w:rPr>
                <w:rFonts w:hint="eastAsia"/>
                <w:lang w:eastAsia="zh-CN"/>
              </w:rPr>
              <w:t>power class</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NR Carrier x power class</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NR Carrier y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Ca</w:t>
            </w:r>
            <w:r>
              <w:rPr>
                <w:lang w:eastAsia="zh-CN"/>
              </w:rPr>
              <w:t xml:space="preserve">se </w:t>
            </w:r>
            <w:r>
              <w:rPr>
                <w:rFonts w:hint="eastAsia"/>
                <w:lang w:eastAsia="zh-CN"/>
              </w:rPr>
              <w:t>a</w:t>
            </w:r>
          </w:p>
        </w:tc>
        <w:tc>
          <w:tcPr>
            <w:tcW w:w="2115"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26dBm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23dBm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Case b</w:t>
            </w:r>
          </w:p>
        </w:tc>
        <w:tc>
          <w:tcPr>
            <w:tcW w:w="2115"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26dBm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23dBm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Case c</w:t>
            </w:r>
          </w:p>
        </w:tc>
        <w:tc>
          <w:tcPr>
            <w:tcW w:w="2115"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26dBm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26dBm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2</w:t>
            </w:r>
            <w:r>
              <w:rPr>
                <w:rFonts w:hint="eastAsia"/>
                <w:lang w:eastAsia="zh-CN"/>
              </w:rPr>
              <w:t>3</w:t>
            </w: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 xml:space="preserve">Case </w:t>
            </w:r>
            <w:r>
              <w:rPr>
                <w:rFonts w:hint="eastAsia"/>
                <w:lang w:eastAsia="zh-CN"/>
              </w:rPr>
              <w:t>d</w:t>
            </w:r>
          </w:p>
        </w:tc>
        <w:tc>
          <w:tcPr>
            <w:tcW w:w="2115"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26dBm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26dBm</w:t>
            </w:r>
          </w:p>
        </w:tc>
        <w:tc>
          <w:tcPr>
            <w:tcW w:w="2133" w:type="dxa"/>
            <w:shd w:val="clear" w:color="auto" w:fill="auto"/>
            <w:noWrap w:val="0"/>
            <w:vAlign w:val="top"/>
          </w:tcPr>
          <w:p>
            <w:pPr>
              <w:keepNext/>
              <w:keepLines w:val="0"/>
              <w:pageBreakBefore w:val="0"/>
              <w:widowControl w:val="0"/>
              <w:kinsoku/>
              <w:wordWrap/>
              <w:overflowPunct/>
              <w:topLinePunct w:val="0"/>
              <w:autoSpaceDE/>
              <w:autoSpaceDN/>
              <w:bidi w:val="0"/>
              <w:adjustRightInd/>
              <w:snapToGrid/>
              <w:textAlignment w:val="auto"/>
              <w:rPr>
                <w:rFonts w:hint="eastAsia"/>
                <w:lang w:eastAsia="zh-CN"/>
              </w:rPr>
            </w:pPr>
            <w:r>
              <w:rPr>
                <w:lang w:eastAsia="zh-CN"/>
              </w:rPr>
              <w:t>2</w:t>
            </w:r>
            <w:r>
              <w:rPr>
                <w:rFonts w:hint="eastAsia"/>
                <w:lang w:eastAsia="zh-CN"/>
              </w:rPr>
              <w:t>6</w:t>
            </w:r>
            <w:r>
              <w:rPr>
                <w:lang w:eastAsia="zh-CN"/>
              </w:rPr>
              <w:t>dBm</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 xml:space="preserve">In this contribution, we give some </w:t>
      </w:r>
      <w:r>
        <w:rPr>
          <w:rFonts w:hint="eastAsia" w:eastAsia="宋体" w:cs="Times New Roman"/>
          <w:i w:val="0"/>
          <w:iCs w:val="0"/>
          <w:sz w:val="20"/>
          <w:szCs w:val="22"/>
          <w:lang w:val="en-US" w:eastAsia="zh-CN"/>
        </w:rPr>
        <w:t xml:space="preserve">proposals on the MSD for PC2 n41+n79 NR inter-band CA.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eastAsia" w:eastAsia="宋体" w:cs="Times New Roman"/>
          <w:bCs/>
          <w:sz w:val="20"/>
          <w:lang w:val="en-US" w:eastAsia="zh-CN"/>
        </w:rPr>
      </w:pPr>
      <w:r>
        <w:rPr>
          <w:rFonts w:hint="eastAsia" w:eastAsia="宋体" w:cs="Times New Roman"/>
          <w:bCs/>
          <w:sz w:val="20"/>
          <w:lang w:val="en-US" w:eastAsia="zh-CN"/>
        </w:rPr>
        <w:t>According to PC3 n41-n79 inter-band CA analysis, there will be no harmonic and/or harmonic mixing issue as long as the frequency in Band 41 is above 2506. According to the spectrum situation in China and Japan, the lowest frequency to be used for this combination is 2515MHz. So there will be no harmonic and/or harmonic mixing issue. Also there are no MSD values caused by cross-band isolation defined for this combination.</w:t>
      </w:r>
    </w:p>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eastAsia" w:eastAsia="宋体" w:cs="Times New Roman"/>
          <w:bCs/>
          <w:sz w:val="20"/>
          <w:lang w:val="en-US" w:eastAsia="zh-CN"/>
        </w:rPr>
      </w:pPr>
      <w:r>
        <w:rPr>
          <w:rFonts w:hint="eastAsia" w:eastAsia="宋体" w:cs="Times New Roman"/>
          <w:bCs/>
          <w:sz w:val="20"/>
          <w:lang w:val="en-US" w:eastAsia="zh-CN"/>
        </w:rPr>
        <w:t>However, comparing PC3 NR inter-band CA n41-n79, due to the output power for both band n41 and band n79 are increased up to 26dBm for PC2, and the band n41 filter rejection at band n79 Rx is about 25dB, therefore it needs to evaluate the cross band isolation MSD for PC2 NR inter-band CA n41-n79.</w:t>
      </w:r>
    </w:p>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eastAsia" w:eastAsia="宋体" w:cs="Times New Roman"/>
          <w:bCs/>
          <w:sz w:val="20"/>
          <w:lang w:val="en-US" w:eastAsia="zh-CN"/>
        </w:rPr>
      </w:pPr>
      <w:r>
        <w:rPr>
          <w:rFonts w:hint="eastAsia" w:eastAsia="宋体" w:cs="Times New Roman"/>
          <w:bCs/>
          <w:sz w:val="20"/>
          <w:lang w:val="en-US" w:eastAsia="zh-CN"/>
        </w:rPr>
        <w:t>The evaluate parameters are assumed in table 1.</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PA output power for band B41/n79 (dBm)</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Band n41 Tx PA output power at Bn79 Rx band(dBm/Hz)</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 xml:space="preserve">Band n41 </w:t>
            </w:r>
            <w:r>
              <w:rPr>
                <w:rFonts w:hint="default" w:eastAsia="宋体" w:cs="Times New Roman"/>
                <w:bCs/>
                <w:sz w:val="20"/>
                <w:vertAlign w:val="baseline"/>
                <w:lang w:val="en-US" w:eastAsia="zh-CN"/>
              </w:rPr>
              <w:t>Tx Transceiver noise floor at PA output (dBm/Hz)</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vAlign w:val="top"/>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ascii="Times New Roman" w:hAnsi="Times New Roman" w:eastAsia="宋体" w:cs="Times New Roman"/>
                <w:bCs/>
                <w:sz w:val="20"/>
                <w:vertAlign w:val="baseline"/>
                <w:lang w:val="en-US" w:eastAsia="zh-CN" w:bidi="ar-SA"/>
              </w:rPr>
            </w:pPr>
            <w:r>
              <w:rPr>
                <w:rFonts w:hint="eastAsia" w:eastAsia="宋体" w:cs="Times New Roman"/>
                <w:bCs/>
                <w:sz w:val="20"/>
                <w:vertAlign w:val="baseline"/>
                <w:lang w:val="en-US" w:eastAsia="zh-CN"/>
              </w:rPr>
              <w:t>Band n79 Tx PA output power at Bn41 Rx band(dBm/Hz)</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vAlign w:val="top"/>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ascii="Times New Roman" w:hAnsi="Times New Roman" w:eastAsia="宋体" w:cs="Times New Roman"/>
                <w:bCs/>
                <w:sz w:val="20"/>
                <w:vertAlign w:val="baseline"/>
                <w:lang w:val="en-US" w:eastAsia="zh-CN" w:bidi="ar-SA"/>
              </w:rPr>
            </w:pPr>
            <w:r>
              <w:rPr>
                <w:rFonts w:hint="eastAsia" w:eastAsia="宋体" w:cs="Times New Roman"/>
                <w:bCs/>
                <w:sz w:val="20"/>
                <w:vertAlign w:val="baseline"/>
                <w:lang w:val="en-US" w:eastAsia="zh-CN"/>
              </w:rPr>
              <w:t xml:space="preserve">Band n79 </w:t>
            </w:r>
            <w:r>
              <w:rPr>
                <w:rFonts w:hint="default" w:eastAsia="宋体" w:cs="Times New Roman"/>
                <w:bCs/>
                <w:sz w:val="20"/>
                <w:vertAlign w:val="baseline"/>
                <w:lang w:val="en-US" w:eastAsia="zh-CN"/>
              </w:rPr>
              <w:t>Tx Transceiver noise floor at PA output (dBm/Hz)</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Rx IIP2(dB)</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Band n41 filter rejection @ band n79 Rx (dB)</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Band n79 filter rejection @ band n41 Rx (dB)</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Diplexer isolation (dB)</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4"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Antenna isolation (dB)</w:t>
            </w:r>
          </w:p>
        </w:tc>
        <w:tc>
          <w:tcPr>
            <w:tcW w:w="1000" w:type="dxa"/>
          </w:tcPr>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vertAlign w:val="baseline"/>
                <w:lang w:val="en-US" w:eastAsia="zh-CN"/>
              </w:rPr>
            </w:pPr>
            <w:r>
              <w:rPr>
                <w:rFonts w:hint="eastAsia" w:eastAsia="宋体" w:cs="Times New Roman"/>
                <w:bCs/>
                <w:sz w:val="20"/>
                <w:vertAlign w:val="baseline"/>
                <w:lang w:val="en-US" w:eastAsia="zh-CN"/>
              </w:rPr>
              <w:t>10</w:t>
            </w:r>
          </w:p>
        </w:tc>
      </w:tr>
    </w:tbl>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lang w:val="en-US" w:eastAsia="zh-CN"/>
        </w:rPr>
      </w:pPr>
      <w:r>
        <w:rPr>
          <w:rFonts w:hint="eastAsia" w:eastAsia="宋体" w:cs="Times New Roman"/>
          <w:bCs/>
          <w:sz w:val="20"/>
          <w:lang w:val="en-US" w:eastAsia="zh-CN"/>
        </w:rPr>
        <w:t>With the assumption in table 1, the MSD values for 23dBm (n41)+26dBm(n79), 26dBm (n41)+23dBm(n79) and  26dBm (n41)+26dBm(n79) are proposed in table 2.</w:t>
      </w:r>
    </w:p>
    <w:p>
      <w:pPr>
        <w:pStyle w:val="168"/>
        <w:rPr>
          <w:rFonts w:hint="default" w:eastAsia="宋体"/>
          <w:color w:val="auto"/>
          <w:lang w:val="en-US" w:eastAsia="zh-CN"/>
        </w:rPr>
      </w:pPr>
      <w:bookmarkStart w:id="1" w:name="_Hlk52718931"/>
      <w:r>
        <w:rPr>
          <w:color w:val="auto"/>
        </w:rPr>
        <w:t xml:space="preserve">Table </w:t>
      </w:r>
      <w:bookmarkEnd w:id="1"/>
      <w:r>
        <w:rPr>
          <w:rFonts w:hint="eastAsia" w:eastAsia="宋体"/>
          <w:color w:val="auto"/>
          <w:lang w:val="en-US" w:eastAsia="zh-CN"/>
        </w:rPr>
        <w:t>2</w:t>
      </w:r>
      <w:r>
        <w:rPr>
          <w:color w:val="auto"/>
        </w:rPr>
        <w:t xml:space="preserve">: Reference sensitivity exceptions (MSD) due to cross band isolation for </w:t>
      </w:r>
      <w:r>
        <w:rPr>
          <w:rFonts w:hint="eastAsia" w:eastAsia="宋体"/>
          <w:color w:val="auto"/>
          <w:lang w:val="en-US" w:eastAsia="zh-CN"/>
        </w:rPr>
        <w:t xml:space="preserve">PC2 </w:t>
      </w:r>
      <w:r>
        <w:rPr>
          <w:color w:val="auto"/>
        </w:rPr>
        <w:t xml:space="preserve">NR CA </w:t>
      </w:r>
      <w:r>
        <w:rPr>
          <w:rFonts w:hint="eastAsia" w:eastAsia="宋体"/>
          <w:color w:val="auto"/>
          <w:lang w:val="en-US" w:eastAsia="zh-CN"/>
        </w:rPr>
        <w:t>n41-n79</w:t>
      </w:r>
    </w:p>
    <w:tbl>
      <w:tblPr>
        <w:tblStyle w:val="7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211"/>
              <w:rPr>
                <w:color w:val="auto"/>
                <w:lang w:val="en-US" w:eastAsia="ja-JP"/>
              </w:rPr>
            </w:pPr>
            <w:r>
              <w:rPr>
                <w:color w:val="auto"/>
                <w:lang w:eastAsia="ja-JP"/>
              </w:rPr>
              <w:t>NR Band / Channel bandwidth</w:t>
            </w:r>
            <w:r>
              <w:rPr>
                <w:color w:val="auto"/>
              </w:rPr>
              <w:t xml:space="preserve"> </w:t>
            </w:r>
            <w:r>
              <w:rPr>
                <w:color w:val="auto"/>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211"/>
              <w:rPr>
                <w:color w:val="auto"/>
                <w:lang w:eastAsia="ja-JP"/>
              </w:rPr>
            </w:pPr>
            <w:r>
              <w:rPr>
                <w:color w:val="auto"/>
                <w:lang w:eastAsia="ja-JP"/>
              </w:rPr>
              <w:t>UL band</w:t>
            </w:r>
          </w:p>
        </w:tc>
        <w:tc>
          <w:tcPr>
            <w:tcW w:w="610" w:type="dxa"/>
            <w:vAlign w:val="center"/>
          </w:tcPr>
          <w:p>
            <w:pPr>
              <w:pStyle w:val="211"/>
              <w:rPr>
                <w:color w:val="auto"/>
                <w:lang w:eastAsia="ja-JP"/>
              </w:rPr>
            </w:pPr>
            <w:r>
              <w:rPr>
                <w:color w:val="auto"/>
                <w:lang w:eastAsia="ja-JP"/>
              </w:rPr>
              <w:t>DL band</w:t>
            </w:r>
          </w:p>
        </w:tc>
        <w:tc>
          <w:tcPr>
            <w:tcW w:w="598" w:type="dxa"/>
            <w:vAlign w:val="center"/>
          </w:tcPr>
          <w:p>
            <w:pPr>
              <w:pStyle w:val="211"/>
              <w:rPr>
                <w:color w:val="auto"/>
                <w:lang w:eastAsia="ja-JP"/>
              </w:rPr>
            </w:pPr>
            <w:r>
              <w:rPr>
                <w:rFonts w:hint="eastAsia"/>
                <w:color w:val="auto"/>
                <w:lang w:eastAsia="ja-JP"/>
              </w:rPr>
              <w:t>5</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rFonts w:hint="eastAsia"/>
                <w:color w:val="auto"/>
                <w:lang w:eastAsia="ja-JP"/>
              </w:rPr>
              <w:t>10</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rFonts w:hint="eastAsia"/>
                <w:color w:val="auto"/>
                <w:lang w:eastAsia="ja-JP"/>
              </w:rPr>
              <w:t>15</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rFonts w:hint="eastAsia"/>
                <w:color w:val="auto"/>
                <w:lang w:eastAsia="ja-JP"/>
              </w:rPr>
              <w:t>20</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color w:val="auto"/>
                <w:lang w:eastAsia="ja-JP"/>
              </w:rPr>
              <w:t>25</w:t>
            </w:r>
            <w:r>
              <w:rPr>
                <w:color w:val="auto"/>
                <w:lang w:eastAsia="ja-JP"/>
              </w:rPr>
              <w:br w:type="textWrapping"/>
            </w:r>
            <w:r>
              <w:rPr>
                <w:rFonts w:hint="eastAsia"/>
                <w:color w:val="auto"/>
                <w:lang w:eastAsia="ja-JP"/>
              </w:rPr>
              <w:t>MHz</w:t>
            </w:r>
            <w:r>
              <w:rPr>
                <w:color w:val="auto"/>
                <w:lang w:eastAsia="ja-JP"/>
              </w:rPr>
              <w:t xml:space="preserve"> (dB)</w:t>
            </w:r>
          </w:p>
        </w:tc>
        <w:tc>
          <w:tcPr>
            <w:tcW w:w="598" w:type="dxa"/>
          </w:tcPr>
          <w:p>
            <w:pPr>
              <w:pStyle w:val="211"/>
              <w:rPr>
                <w:color w:val="auto"/>
                <w:lang w:eastAsia="ja-JP"/>
              </w:rPr>
            </w:pPr>
            <w:r>
              <w:rPr>
                <w:rFonts w:hint="eastAsia"/>
                <w:color w:val="auto"/>
                <w:lang w:val="en-US" w:eastAsia="ja-JP"/>
              </w:rPr>
              <w:t>30 MHz</w:t>
            </w:r>
            <w:r>
              <w:rPr>
                <w:rFonts w:hint="eastAsia"/>
                <w:color w:val="auto"/>
                <w:lang w:val="en-US" w:eastAsia="zh-CN"/>
              </w:rPr>
              <w:t xml:space="preserve"> (dB)</w:t>
            </w:r>
          </w:p>
        </w:tc>
        <w:tc>
          <w:tcPr>
            <w:tcW w:w="598" w:type="dxa"/>
          </w:tcPr>
          <w:p>
            <w:pPr>
              <w:pStyle w:val="211"/>
              <w:rPr>
                <w:color w:val="auto"/>
                <w:lang w:eastAsia="ja-JP"/>
              </w:rPr>
            </w:pPr>
            <w:r>
              <w:rPr>
                <w:rFonts w:hint="eastAsia"/>
                <w:color w:val="auto"/>
                <w:lang w:val="en-US" w:eastAsia="ja-JP"/>
              </w:rPr>
              <w:t>40 MHz</w:t>
            </w:r>
            <w:r>
              <w:rPr>
                <w:rFonts w:hint="eastAsia"/>
                <w:color w:val="auto"/>
                <w:lang w:val="en-US" w:eastAsia="zh-CN"/>
              </w:rPr>
              <w:t xml:space="preserve"> (dB)</w:t>
            </w:r>
          </w:p>
        </w:tc>
        <w:tc>
          <w:tcPr>
            <w:tcW w:w="598" w:type="dxa"/>
          </w:tcPr>
          <w:p>
            <w:pPr>
              <w:pStyle w:val="211"/>
              <w:rPr>
                <w:color w:val="auto"/>
                <w:lang w:eastAsia="ja-JP"/>
              </w:rPr>
            </w:pPr>
            <w:r>
              <w:rPr>
                <w:rFonts w:hint="eastAsia"/>
                <w:color w:val="auto"/>
                <w:lang w:val="en-US" w:eastAsia="ja-JP"/>
              </w:rPr>
              <w:t>50 MHz</w:t>
            </w:r>
            <w:r>
              <w:rPr>
                <w:rFonts w:hint="eastAsia"/>
                <w:color w:val="auto"/>
                <w:lang w:val="en-US" w:eastAsia="zh-CN"/>
              </w:rPr>
              <w:t xml:space="preserve"> (dB)</w:t>
            </w:r>
          </w:p>
        </w:tc>
        <w:tc>
          <w:tcPr>
            <w:tcW w:w="598" w:type="dxa"/>
          </w:tcPr>
          <w:p>
            <w:pPr>
              <w:pStyle w:val="211"/>
              <w:rPr>
                <w:color w:val="auto"/>
                <w:lang w:eastAsia="ja-JP"/>
              </w:rPr>
            </w:pPr>
            <w:r>
              <w:rPr>
                <w:rFonts w:hint="eastAsia"/>
                <w:color w:val="auto"/>
                <w:lang w:val="en-US" w:eastAsia="ja-JP"/>
              </w:rPr>
              <w:t>60 MHz</w:t>
            </w:r>
            <w:r>
              <w:rPr>
                <w:rFonts w:hint="eastAsia"/>
                <w:color w:val="auto"/>
                <w:lang w:val="en-US" w:eastAsia="zh-CN"/>
              </w:rPr>
              <w:t xml:space="preserve"> (dB)</w:t>
            </w:r>
          </w:p>
        </w:tc>
        <w:tc>
          <w:tcPr>
            <w:tcW w:w="598" w:type="dxa"/>
          </w:tcPr>
          <w:p>
            <w:pPr>
              <w:pStyle w:val="211"/>
              <w:rPr>
                <w:color w:val="auto"/>
                <w:lang w:val="en-US" w:eastAsia="zh-CN"/>
              </w:rPr>
            </w:pPr>
            <w:r>
              <w:rPr>
                <w:rFonts w:hint="eastAsia"/>
                <w:color w:val="auto"/>
                <w:lang w:val="en-US" w:eastAsia="zh-CN"/>
              </w:rPr>
              <w:t>70</w:t>
            </w:r>
          </w:p>
          <w:p>
            <w:pPr>
              <w:pStyle w:val="211"/>
              <w:rPr>
                <w:color w:val="auto"/>
                <w:lang w:val="en-US" w:eastAsia="zh-CN"/>
              </w:rPr>
            </w:pPr>
            <w:r>
              <w:rPr>
                <w:rFonts w:hint="eastAsia"/>
                <w:color w:val="auto"/>
                <w:lang w:val="en-US" w:eastAsia="zh-CN"/>
              </w:rPr>
              <w:t>MHz</w:t>
            </w:r>
          </w:p>
          <w:p>
            <w:pPr>
              <w:pStyle w:val="211"/>
              <w:rPr>
                <w:color w:val="auto"/>
                <w:lang w:val="en-US" w:eastAsia="zh-CN"/>
              </w:rPr>
            </w:pPr>
            <w:r>
              <w:rPr>
                <w:rFonts w:hint="eastAsia"/>
                <w:color w:val="auto"/>
                <w:lang w:val="en-US" w:eastAsia="zh-CN"/>
              </w:rPr>
              <w:t>(dB)</w:t>
            </w:r>
          </w:p>
        </w:tc>
        <w:tc>
          <w:tcPr>
            <w:tcW w:w="598" w:type="dxa"/>
          </w:tcPr>
          <w:p>
            <w:pPr>
              <w:pStyle w:val="211"/>
              <w:rPr>
                <w:color w:val="auto"/>
                <w:lang w:eastAsia="ja-JP"/>
              </w:rPr>
            </w:pPr>
            <w:r>
              <w:rPr>
                <w:rFonts w:hint="eastAsia"/>
                <w:color w:val="auto"/>
                <w:lang w:val="en-US" w:eastAsia="ja-JP"/>
              </w:rPr>
              <w:t>80 MHz</w:t>
            </w:r>
            <w:r>
              <w:rPr>
                <w:rFonts w:hint="eastAsia"/>
                <w:color w:val="auto"/>
                <w:lang w:val="en-US" w:eastAsia="zh-CN"/>
              </w:rPr>
              <w:t xml:space="preserve"> (dB)</w:t>
            </w:r>
          </w:p>
        </w:tc>
        <w:tc>
          <w:tcPr>
            <w:tcW w:w="598" w:type="dxa"/>
          </w:tcPr>
          <w:p>
            <w:pPr>
              <w:pStyle w:val="211"/>
              <w:rPr>
                <w:color w:val="auto"/>
                <w:lang w:eastAsia="ja-JP"/>
              </w:rPr>
            </w:pPr>
            <w:r>
              <w:rPr>
                <w:color w:val="auto"/>
                <w:lang w:val="en-US" w:eastAsia="ja-JP"/>
              </w:rPr>
              <w:t>90 MHz</w:t>
            </w:r>
            <w:r>
              <w:rPr>
                <w:rFonts w:hint="eastAsia"/>
                <w:color w:val="auto"/>
                <w:lang w:val="en-US" w:eastAsia="zh-CN"/>
              </w:rPr>
              <w:t xml:space="preserve"> (dB)</w:t>
            </w:r>
          </w:p>
        </w:tc>
        <w:tc>
          <w:tcPr>
            <w:tcW w:w="609" w:type="dxa"/>
          </w:tcPr>
          <w:p>
            <w:pPr>
              <w:pStyle w:val="211"/>
              <w:rPr>
                <w:color w:val="auto"/>
                <w:lang w:val="en-US" w:eastAsia="ja-JP"/>
              </w:rPr>
            </w:pPr>
            <w:r>
              <w:rPr>
                <w:rFonts w:hint="eastAsia"/>
                <w:color w:val="auto"/>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210"/>
              <w:rPr>
                <w:color w:val="auto"/>
                <w:lang w:val="en-US" w:eastAsia="zh-CN"/>
              </w:rPr>
            </w:pPr>
            <w:r>
              <w:rPr>
                <w:color w:val="auto"/>
                <w:lang w:val="en-US" w:eastAsia="zh-CN"/>
              </w:rPr>
              <w:t>n41</w:t>
            </w:r>
          </w:p>
        </w:tc>
        <w:tc>
          <w:tcPr>
            <w:tcW w:w="610" w:type="dxa"/>
            <w:vAlign w:val="center"/>
          </w:tcPr>
          <w:p>
            <w:pPr>
              <w:pStyle w:val="210"/>
              <w:rPr>
                <w:rFonts w:hint="default"/>
                <w:color w:val="auto"/>
                <w:lang w:val="en-US" w:eastAsia="zh-CN"/>
              </w:rPr>
            </w:pPr>
            <w:r>
              <w:rPr>
                <w:rFonts w:hint="eastAsia"/>
                <w:color w:val="auto"/>
                <w:lang w:val="en-US" w:eastAsia="zh-CN"/>
              </w:rPr>
              <w:t>n79</w:t>
            </w: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color w:val="auto"/>
              </w:rPr>
            </w:pP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color w:val="auto"/>
              </w:rPr>
            </w:pPr>
          </w:p>
        </w:tc>
        <w:tc>
          <w:tcPr>
            <w:tcW w:w="609" w:type="dxa"/>
            <w:vAlign w:val="center"/>
          </w:tcPr>
          <w:p>
            <w:pPr>
              <w:pStyle w:val="210"/>
              <w:rPr>
                <w:rFonts w:hint="default" w:eastAsia="宋体"/>
                <w:color w:val="auto"/>
                <w:lang w:val="en-US" w:eastAsia="zh-CN"/>
              </w:rPr>
            </w:pPr>
            <w:r>
              <w:rPr>
                <w:rFonts w:hint="eastAsia" w:eastAsia="宋体"/>
                <w:color w:val="auto"/>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210"/>
              <w:rPr>
                <w:rFonts w:hint="default"/>
                <w:color w:val="auto"/>
                <w:lang w:val="en-US" w:eastAsia="zh-CN"/>
              </w:rPr>
            </w:pPr>
            <w:r>
              <w:rPr>
                <w:color w:val="auto"/>
                <w:lang w:val="en-US" w:eastAsia="zh-CN"/>
              </w:rPr>
              <w:t>n</w:t>
            </w:r>
            <w:r>
              <w:rPr>
                <w:rFonts w:hint="eastAsia"/>
                <w:color w:val="auto"/>
                <w:lang w:val="en-US" w:eastAsia="zh-CN"/>
              </w:rPr>
              <w:t>79</w:t>
            </w:r>
          </w:p>
        </w:tc>
        <w:tc>
          <w:tcPr>
            <w:tcW w:w="610" w:type="dxa"/>
            <w:vAlign w:val="center"/>
          </w:tcPr>
          <w:p>
            <w:pPr>
              <w:pStyle w:val="210"/>
              <w:rPr>
                <w:color w:val="auto"/>
                <w:lang w:val="en-US" w:eastAsia="zh-CN"/>
              </w:rPr>
            </w:pPr>
            <w:r>
              <w:rPr>
                <w:color w:val="auto"/>
                <w:lang w:val="en-US" w:eastAsia="zh-CN"/>
              </w:rPr>
              <w:t>n41</w:t>
            </w:r>
          </w:p>
        </w:tc>
        <w:tc>
          <w:tcPr>
            <w:tcW w:w="598" w:type="dxa"/>
            <w:vAlign w:val="center"/>
          </w:tcPr>
          <w:p>
            <w:pPr>
              <w:pStyle w:val="210"/>
              <w:rPr>
                <w:color w:val="auto"/>
                <w:lang w:val="en-US" w:eastAsia="zh-CN"/>
              </w:rPr>
            </w:pPr>
          </w:p>
        </w:tc>
        <w:tc>
          <w:tcPr>
            <w:tcW w:w="598" w:type="dxa"/>
            <w:vAlign w:val="center"/>
          </w:tcPr>
          <w:p>
            <w:pPr>
              <w:pStyle w:val="210"/>
              <w:rPr>
                <w:rFonts w:hint="default"/>
                <w:color w:val="auto"/>
                <w:lang w:val="en-US" w:eastAsia="zh-CN"/>
              </w:rPr>
            </w:pPr>
            <w:r>
              <w:rPr>
                <w:rFonts w:hint="eastAsia"/>
                <w:color w:val="auto"/>
                <w:lang w:val="en-US" w:eastAsia="zh-CN"/>
              </w:rPr>
              <w:t>3.5</w:t>
            </w:r>
          </w:p>
        </w:tc>
        <w:tc>
          <w:tcPr>
            <w:tcW w:w="598" w:type="dxa"/>
            <w:vAlign w:val="center"/>
          </w:tcPr>
          <w:p>
            <w:pPr>
              <w:pStyle w:val="210"/>
              <w:rPr>
                <w:rFonts w:hint="default"/>
                <w:color w:val="auto"/>
                <w:lang w:val="en-US" w:eastAsia="zh-CN"/>
              </w:rPr>
            </w:pPr>
            <w:r>
              <w:rPr>
                <w:rFonts w:hint="eastAsia"/>
                <w:color w:val="auto"/>
                <w:lang w:val="en-US" w:eastAsia="zh-CN"/>
              </w:rPr>
              <w:t>3.3</w:t>
            </w:r>
          </w:p>
        </w:tc>
        <w:tc>
          <w:tcPr>
            <w:tcW w:w="598" w:type="dxa"/>
            <w:vAlign w:val="center"/>
          </w:tcPr>
          <w:p>
            <w:pPr>
              <w:pStyle w:val="210"/>
              <w:rPr>
                <w:rFonts w:hint="default"/>
                <w:color w:val="auto"/>
                <w:lang w:val="en-US" w:eastAsia="zh-CN"/>
              </w:rPr>
            </w:pPr>
            <w:r>
              <w:rPr>
                <w:rFonts w:hint="eastAsia"/>
                <w:color w:val="auto"/>
                <w:lang w:val="en-US" w:eastAsia="zh-CN"/>
              </w:rPr>
              <w:t>3.2</w:t>
            </w:r>
          </w:p>
        </w:tc>
        <w:tc>
          <w:tcPr>
            <w:tcW w:w="598" w:type="dxa"/>
            <w:vAlign w:val="center"/>
          </w:tcPr>
          <w:p>
            <w:pPr>
              <w:pStyle w:val="210"/>
              <w:rPr>
                <w:color w:val="auto"/>
                <w:lang w:val="en-US" w:eastAsia="zh-CN"/>
              </w:rPr>
            </w:pPr>
          </w:p>
        </w:tc>
        <w:tc>
          <w:tcPr>
            <w:tcW w:w="598" w:type="dxa"/>
            <w:vAlign w:val="center"/>
          </w:tcPr>
          <w:p>
            <w:pPr>
              <w:pStyle w:val="210"/>
              <w:rPr>
                <w:rFonts w:hint="default"/>
                <w:color w:val="auto"/>
                <w:lang w:val="en-US" w:eastAsia="zh-CN"/>
              </w:rPr>
            </w:pPr>
            <w:r>
              <w:rPr>
                <w:rFonts w:hint="eastAsia"/>
                <w:color w:val="auto"/>
                <w:lang w:val="en-US" w:eastAsia="zh-CN"/>
              </w:rPr>
              <w:t>3.0</w:t>
            </w:r>
          </w:p>
        </w:tc>
        <w:tc>
          <w:tcPr>
            <w:tcW w:w="598" w:type="dxa"/>
            <w:vAlign w:val="center"/>
          </w:tcPr>
          <w:p>
            <w:pPr>
              <w:pStyle w:val="210"/>
              <w:rPr>
                <w:rFonts w:hint="default"/>
                <w:color w:val="auto"/>
                <w:lang w:val="en-US"/>
              </w:rPr>
            </w:pPr>
            <w:r>
              <w:rPr>
                <w:rFonts w:hint="eastAsia"/>
                <w:color w:val="auto"/>
                <w:lang w:val="en-US" w:eastAsia="zh-CN"/>
              </w:rPr>
              <w:t>2.9</w:t>
            </w:r>
          </w:p>
        </w:tc>
        <w:tc>
          <w:tcPr>
            <w:tcW w:w="598" w:type="dxa"/>
            <w:vAlign w:val="center"/>
          </w:tcPr>
          <w:p>
            <w:pPr>
              <w:pStyle w:val="210"/>
              <w:rPr>
                <w:rFonts w:hint="default"/>
                <w:color w:val="auto"/>
                <w:lang w:val="en-US"/>
              </w:rPr>
            </w:pPr>
            <w:r>
              <w:rPr>
                <w:rFonts w:hint="eastAsia"/>
                <w:color w:val="auto"/>
                <w:lang w:val="en-US" w:eastAsia="zh-CN"/>
              </w:rPr>
              <w:t>2.8</w:t>
            </w:r>
          </w:p>
        </w:tc>
        <w:tc>
          <w:tcPr>
            <w:tcW w:w="598" w:type="dxa"/>
            <w:vAlign w:val="center"/>
          </w:tcPr>
          <w:p>
            <w:pPr>
              <w:pStyle w:val="210"/>
              <w:rPr>
                <w:rFonts w:hint="default"/>
                <w:color w:val="auto"/>
                <w:lang w:val="en-US"/>
              </w:rPr>
            </w:pPr>
            <w:r>
              <w:rPr>
                <w:rFonts w:hint="eastAsia"/>
                <w:color w:val="auto"/>
                <w:lang w:val="en-US" w:eastAsia="zh-CN"/>
              </w:rPr>
              <w:t>2.7</w:t>
            </w:r>
          </w:p>
        </w:tc>
        <w:tc>
          <w:tcPr>
            <w:tcW w:w="598" w:type="dxa"/>
            <w:vAlign w:val="center"/>
          </w:tcPr>
          <w:p>
            <w:pPr>
              <w:pStyle w:val="210"/>
              <w:rPr>
                <w:color w:val="auto"/>
                <w:lang w:val="en-US" w:eastAsia="zh-CN"/>
              </w:rPr>
            </w:pPr>
          </w:p>
        </w:tc>
        <w:tc>
          <w:tcPr>
            <w:tcW w:w="598" w:type="dxa"/>
            <w:vAlign w:val="center"/>
          </w:tcPr>
          <w:p>
            <w:pPr>
              <w:pStyle w:val="210"/>
              <w:rPr>
                <w:rFonts w:hint="default"/>
                <w:color w:val="auto"/>
                <w:lang w:val="en-US"/>
              </w:rPr>
            </w:pPr>
            <w:r>
              <w:rPr>
                <w:rFonts w:hint="eastAsia"/>
                <w:color w:val="auto"/>
                <w:lang w:val="en-US" w:eastAsia="zh-CN"/>
              </w:rPr>
              <w:t>2.6</w:t>
            </w:r>
          </w:p>
        </w:tc>
        <w:tc>
          <w:tcPr>
            <w:tcW w:w="598" w:type="dxa"/>
            <w:vAlign w:val="center"/>
          </w:tcPr>
          <w:p>
            <w:pPr>
              <w:pStyle w:val="210"/>
              <w:rPr>
                <w:rFonts w:hint="default"/>
                <w:color w:val="auto"/>
                <w:lang w:val="en-US"/>
              </w:rPr>
            </w:pPr>
            <w:r>
              <w:rPr>
                <w:rFonts w:hint="eastAsia"/>
                <w:color w:val="auto"/>
                <w:lang w:val="en-US" w:eastAsia="zh-CN"/>
              </w:rPr>
              <w:t>2.5</w:t>
            </w:r>
          </w:p>
        </w:tc>
        <w:tc>
          <w:tcPr>
            <w:tcW w:w="609" w:type="dxa"/>
            <w:vAlign w:val="center"/>
          </w:tcPr>
          <w:p>
            <w:pPr>
              <w:pStyle w:val="210"/>
              <w:rPr>
                <w:rFonts w:hint="default"/>
                <w:color w:val="auto"/>
                <w:lang w:val="en-US"/>
              </w:rPr>
            </w:pPr>
            <w:r>
              <w:rPr>
                <w:rFonts w:hint="eastAsia"/>
                <w:color w:val="auto"/>
                <w:lang w:val="en-US" w:eastAsia="zh-CN"/>
              </w:rPr>
              <w:t>2.5</w:t>
            </w:r>
          </w:p>
        </w:tc>
      </w:tr>
    </w:tbl>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eastAsia" w:ascii="Times New Roman" w:hAnsi="Times New Roman" w:eastAsia="宋体" w:cs="Times New Roman"/>
          <w:bCs/>
          <w:sz w:val="20"/>
          <w:lang w:eastAsia="zh-CN"/>
        </w:rPr>
      </w:pP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lang w:val="en-US" w:eastAsia="zh-CN"/>
        </w:rPr>
      </w:pPr>
      <w:r>
        <w:rPr>
          <w:rFonts w:hint="eastAsia" w:ascii="Times New Roman" w:hAnsi="Times New Roman" w:eastAsia="宋体" w:cs="Times New Roman"/>
          <w:sz w:val="20"/>
          <w:szCs w:val="22"/>
          <w:lang w:val="en-US" w:eastAsia="zh-CN"/>
        </w:rPr>
        <w:t>In this paper,  we give some</w:t>
      </w:r>
      <w:r>
        <w:rPr>
          <w:rFonts w:hint="eastAsia" w:eastAsia="宋体" w:cs="Times New Roman"/>
          <w:sz w:val="20"/>
          <w:szCs w:val="22"/>
          <w:lang w:val="en-US" w:eastAsia="zh-CN"/>
        </w:rPr>
        <w:t xml:space="preserve"> </w:t>
      </w:r>
      <w:r>
        <w:rPr>
          <w:rFonts w:hint="eastAsia" w:ascii="Times New Roman" w:hAnsi="Times New Roman" w:eastAsia="宋体" w:cs="Times New Roman"/>
          <w:sz w:val="20"/>
          <w:szCs w:val="22"/>
          <w:lang w:val="en-US" w:eastAsia="zh-CN"/>
        </w:rPr>
        <w:t>discussion</w:t>
      </w:r>
      <w:r>
        <w:rPr>
          <w:rFonts w:hint="eastAsia" w:eastAsia="宋体" w:cs="Times New Roman"/>
          <w:sz w:val="20"/>
          <w:szCs w:val="22"/>
          <w:lang w:val="en-US" w:eastAsia="zh-CN"/>
        </w:rPr>
        <w:t xml:space="preserve"> on the cross band isolation MSD for PC2 NR  inter-band CA n41-n79. For the three cases, i.e. 23dBm+26dBm, 26dBm+23dBm and 26dBm +26dBm, the MSD values are proposed:</w:t>
      </w:r>
    </w:p>
    <w:p>
      <w:pPr>
        <w:pStyle w:val="168"/>
        <w:rPr>
          <w:rFonts w:hint="eastAsia" w:eastAsia="宋体" w:cs="Times New Roman"/>
          <w:sz w:val="20"/>
          <w:szCs w:val="22"/>
          <w:lang w:val="en-US" w:eastAsia="zh-CN"/>
        </w:rPr>
      </w:pPr>
      <w:r>
        <w:rPr>
          <w:color w:val="auto"/>
        </w:rPr>
        <w:t xml:space="preserve">Table </w:t>
      </w:r>
      <w:r>
        <w:rPr>
          <w:rFonts w:hint="eastAsia" w:eastAsia="宋体"/>
          <w:color w:val="auto"/>
          <w:lang w:val="en-US" w:eastAsia="zh-CN"/>
        </w:rPr>
        <w:t>2</w:t>
      </w:r>
      <w:r>
        <w:rPr>
          <w:color w:val="auto"/>
        </w:rPr>
        <w:t xml:space="preserve">: Reference sensitivity exceptions (MSD) due to cross band isolation for </w:t>
      </w:r>
      <w:r>
        <w:rPr>
          <w:rFonts w:hint="eastAsia" w:eastAsia="宋体"/>
          <w:color w:val="auto"/>
          <w:lang w:val="en-US" w:eastAsia="zh-CN"/>
        </w:rPr>
        <w:t xml:space="preserve">PC2 </w:t>
      </w:r>
      <w:r>
        <w:rPr>
          <w:color w:val="auto"/>
        </w:rPr>
        <w:t xml:space="preserve">NR CA </w:t>
      </w:r>
      <w:r>
        <w:rPr>
          <w:rFonts w:hint="eastAsia" w:eastAsia="宋体"/>
          <w:color w:val="auto"/>
          <w:lang w:val="en-US" w:eastAsia="zh-CN"/>
        </w:rPr>
        <w:t>n41-n79</w:t>
      </w:r>
    </w:p>
    <w:tbl>
      <w:tblPr>
        <w:tblStyle w:val="7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211"/>
              <w:rPr>
                <w:color w:val="auto"/>
                <w:lang w:val="en-US" w:eastAsia="ja-JP"/>
              </w:rPr>
            </w:pPr>
            <w:r>
              <w:rPr>
                <w:color w:val="auto"/>
                <w:lang w:eastAsia="ja-JP"/>
              </w:rPr>
              <w:t>NR Band / Channel bandwidth</w:t>
            </w:r>
            <w:r>
              <w:rPr>
                <w:color w:val="auto"/>
              </w:rPr>
              <w:t xml:space="preserve"> </w:t>
            </w:r>
            <w:r>
              <w:rPr>
                <w:color w:val="auto"/>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211"/>
              <w:rPr>
                <w:color w:val="auto"/>
                <w:lang w:eastAsia="ja-JP"/>
              </w:rPr>
            </w:pPr>
            <w:r>
              <w:rPr>
                <w:color w:val="auto"/>
                <w:lang w:eastAsia="ja-JP"/>
              </w:rPr>
              <w:t>UL band</w:t>
            </w:r>
          </w:p>
        </w:tc>
        <w:tc>
          <w:tcPr>
            <w:tcW w:w="610" w:type="dxa"/>
            <w:vAlign w:val="center"/>
          </w:tcPr>
          <w:p>
            <w:pPr>
              <w:pStyle w:val="211"/>
              <w:rPr>
                <w:color w:val="auto"/>
                <w:lang w:eastAsia="ja-JP"/>
              </w:rPr>
            </w:pPr>
            <w:r>
              <w:rPr>
                <w:color w:val="auto"/>
                <w:lang w:eastAsia="ja-JP"/>
              </w:rPr>
              <w:t>DL band</w:t>
            </w:r>
          </w:p>
        </w:tc>
        <w:tc>
          <w:tcPr>
            <w:tcW w:w="598" w:type="dxa"/>
            <w:vAlign w:val="center"/>
          </w:tcPr>
          <w:p>
            <w:pPr>
              <w:pStyle w:val="211"/>
              <w:rPr>
                <w:color w:val="auto"/>
                <w:lang w:eastAsia="ja-JP"/>
              </w:rPr>
            </w:pPr>
            <w:r>
              <w:rPr>
                <w:rFonts w:hint="eastAsia"/>
                <w:color w:val="auto"/>
                <w:lang w:eastAsia="ja-JP"/>
              </w:rPr>
              <w:t>5</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rFonts w:hint="eastAsia"/>
                <w:color w:val="auto"/>
                <w:lang w:eastAsia="ja-JP"/>
              </w:rPr>
              <w:t>10</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rFonts w:hint="eastAsia"/>
                <w:color w:val="auto"/>
                <w:lang w:eastAsia="ja-JP"/>
              </w:rPr>
              <w:t>15</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rFonts w:hint="eastAsia"/>
                <w:color w:val="auto"/>
                <w:lang w:eastAsia="ja-JP"/>
              </w:rPr>
              <w:t>20</w:t>
            </w:r>
            <w:r>
              <w:rPr>
                <w:color w:val="auto"/>
                <w:lang w:eastAsia="ja-JP"/>
              </w:rPr>
              <w:br w:type="textWrapping"/>
            </w:r>
            <w:r>
              <w:rPr>
                <w:rFonts w:hint="eastAsia"/>
                <w:color w:val="auto"/>
                <w:lang w:eastAsia="ja-JP"/>
              </w:rPr>
              <w:t>MHz</w:t>
            </w:r>
            <w:r>
              <w:rPr>
                <w:color w:val="auto"/>
                <w:lang w:eastAsia="ja-JP"/>
              </w:rPr>
              <w:t xml:space="preserve"> (dB)</w:t>
            </w:r>
          </w:p>
        </w:tc>
        <w:tc>
          <w:tcPr>
            <w:tcW w:w="598" w:type="dxa"/>
            <w:vAlign w:val="center"/>
          </w:tcPr>
          <w:p>
            <w:pPr>
              <w:pStyle w:val="211"/>
              <w:rPr>
                <w:color w:val="auto"/>
                <w:lang w:eastAsia="ja-JP"/>
              </w:rPr>
            </w:pPr>
            <w:r>
              <w:rPr>
                <w:color w:val="auto"/>
                <w:lang w:eastAsia="ja-JP"/>
              </w:rPr>
              <w:t>25</w:t>
            </w:r>
            <w:r>
              <w:rPr>
                <w:color w:val="auto"/>
                <w:lang w:eastAsia="ja-JP"/>
              </w:rPr>
              <w:br w:type="textWrapping"/>
            </w:r>
            <w:r>
              <w:rPr>
                <w:rFonts w:hint="eastAsia"/>
                <w:color w:val="auto"/>
                <w:lang w:eastAsia="ja-JP"/>
              </w:rPr>
              <w:t>MHz</w:t>
            </w:r>
            <w:r>
              <w:rPr>
                <w:color w:val="auto"/>
                <w:lang w:eastAsia="ja-JP"/>
              </w:rPr>
              <w:t xml:space="preserve"> (dB)</w:t>
            </w:r>
          </w:p>
        </w:tc>
        <w:tc>
          <w:tcPr>
            <w:tcW w:w="598" w:type="dxa"/>
          </w:tcPr>
          <w:p>
            <w:pPr>
              <w:pStyle w:val="211"/>
              <w:rPr>
                <w:color w:val="auto"/>
                <w:lang w:eastAsia="ja-JP"/>
              </w:rPr>
            </w:pPr>
            <w:r>
              <w:rPr>
                <w:rFonts w:hint="eastAsia"/>
                <w:color w:val="auto"/>
                <w:lang w:val="en-US" w:eastAsia="ja-JP"/>
              </w:rPr>
              <w:t>30 MHz</w:t>
            </w:r>
            <w:r>
              <w:rPr>
                <w:rFonts w:hint="eastAsia"/>
                <w:color w:val="auto"/>
                <w:lang w:val="en-US" w:eastAsia="zh-CN"/>
              </w:rPr>
              <w:t xml:space="preserve"> (dB)</w:t>
            </w:r>
          </w:p>
        </w:tc>
        <w:tc>
          <w:tcPr>
            <w:tcW w:w="598" w:type="dxa"/>
          </w:tcPr>
          <w:p>
            <w:pPr>
              <w:pStyle w:val="211"/>
              <w:rPr>
                <w:color w:val="auto"/>
                <w:lang w:eastAsia="ja-JP"/>
              </w:rPr>
            </w:pPr>
            <w:r>
              <w:rPr>
                <w:rFonts w:hint="eastAsia"/>
                <w:color w:val="auto"/>
                <w:lang w:val="en-US" w:eastAsia="ja-JP"/>
              </w:rPr>
              <w:t>40 MHz</w:t>
            </w:r>
            <w:r>
              <w:rPr>
                <w:rFonts w:hint="eastAsia"/>
                <w:color w:val="auto"/>
                <w:lang w:val="en-US" w:eastAsia="zh-CN"/>
              </w:rPr>
              <w:t xml:space="preserve"> (dB)</w:t>
            </w:r>
          </w:p>
        </w:tc>
        <w:tc>
          <w:tcPr>
            <w:tcW w:w="598" w:type="dxa"/>
          </w:tcPr>
          <w:p>
            <w:pPr>
              <w:pStyle w:val="211"/>
              <w:rPr>
                <w:color w:val="auto"/>
                <w:lang w:eastAsia="ja-JP"/>
              </w:rPr>
            </w:pPr>
            <w:r>
              <w:rPr>
                <w:rFonts w:hint="eastAsia"/>
                <w:color w:val="auto"/>
                <w:lang w:val="en-US" w:eastAsia="ja-JP"/>
              </w:rPr>
              <w:t>50 MHz</w:t>
            </w:r>
            <w:r>
              <w:rPr>
                <w:rFonts w:hint="eastAsia"/>
                <w:color w:val="auto"/>
                <w:lang w:val="en-US" w:eastAsia="zh-CN"/>
              </w:rPr>
              <w:t xml:space="preserve"> (dB)</w:t>
            </w:r>
          </w:p>
        </w:tc>
        <w:tc>
          <w:tcPr>
            <w:tcW w:w="598" w:type="dxa"/>
          </w:tcPr>
          <w:p>
            <w:pPr>
              <w:pStyle w:val="211"/>
              <w:rPr>
                <w:color w:val="auto"/>
                <w:lang w:eastAsia="ja-JP"/>
              </w:rPr>
            </w:pPr>
            <w:r>
              <w:rPr>
                <w:rFonts w:hint="eastAsia"/>
                <w:color w:val="auto"/>
                <w:lang w:val="en-US" w:eastAsia="ja-JP"/>
              </w:rPr>
              <w:t>60 MHz</w:t>
            </w:r>
            <w:r>
              <w:rPr>
                <w:rFonts w:hint="eastAsia"/>
                <w:color w:val="auto"/>
                <w:lang w:val="en-US" w:eastAsia="zh-CN"/>
              </w:rPr>
              <w:t xml:space="preserve"> (dB)</w:t>
            </w:r>
          </w:p>
        </w:tc>
        <w:tc>
          <w:tcPr>
            <w:tcW w:w="598" w:type="dxa"/>
          </w:tcPr>
          <w:p>
            <w:pPr>
              <w:pStyle w:val="211"/>
              <w:rPr>
                <w:color w:val="auto"/>
                <w:lang w:val="en-US" w:eastAsia="zh-CN"/>
              </w:rPr>
            </w:pPr>
            <w:r>
              <w:rPr>
                <w:rFonts w:hint="eastAsia"/>
                <w:color w:val="auto"/>
                <w:lang w:val="en-US" w:eastAsia="zh-CN"/>
              </w:rPr>
              <w:t>70</w:t>
            </w:r>
          </w:p>
          <w:p>
            <w:pPr>
              <w:pStyle w:val="211"/>
              <w:rPr>
                <w:color w:val="auto"/>
                <w:lang w:val="en-US" w:eastAsia="zh-CN"/>
              </w:rPr>
            </w:pPr>
            <w:r>
              <w:rPr>
                <w:rFonts w:hint="eastAsia"/>
                <w:color w:val="auto"/>
                <w:lang w:val="en-US" w:eastAsia="zh-CN"/>
              </w:rPr>
              <w:t>MHz</w:t>
            </w:r>
          </w:p>
          <w:p>
            <w:pPr>
              <w:pStyle w:val="211"/>
              <w:rPr>
                <w:color w:val="auto"/>
                <w:lang w:val="en-US" w:eastAsia="zh-CN"/>
              </w:rPr>
            </w:pPr>
            <w:r>
              <w:rPr>
                <w:rFonts w:hint="eastAsia"/>
                <w:color w:val="auto"/>
                <w:lang w:val="en-US" w:eastAsia="zh-CN"/>
              </w:rPr>
              <w:t>(dB)</w:t>
            </w:r>
          </w:p>
        </w:tc>
        <w:tc>
          <w:tcPr>
            <w:tcW w:w="598" w:type="dxa"/>
          </w:tcPr>
          <w:p>
            <w:pPr>
              <w:pStyle w:val="211"/>
              <w:rPr>
                <w:color w:val="auto"/>
                <w:lang w:eastAsia="ja-JP"/>
              </w:rPr>
            </w:pPr>
            <w:r>
              <w:rPr>
                <w:rFonts w:hint="eastAsia"/>
                <w:color w:val="auto"/>
                <w:lang w:val="en-US" w:eastAsia="ja-JP"/>
              </w:rPr>
              <w:t>80 MHz</w:t>
            </w:r>
            <w:r>
              <w:rPr>
                <w:rFonts w:hint="eastAsia"/>
                <w:color w:val="auto"/>
                <w:lang w:val="en-US" w:eastAsia="zh-CN"/>
              </w:rPr>
              <w:t xml:space="preserve"> (dB)</w:t>
            </w:r>
          </w:p>
        </w:tc>
        <w:tc>
          <w:tcPr>
            <w:tcW w:w="598" w:type="dxa"/>
          </w:tcPr>
          <w:p>
            <w:pPr>
              <w:pStyle w:val="211"/>
              <w:rPr>
                <w:color w:val="auto"/>
                <w:lang w:eastAsia="ja-JP"/>
              </w:rPr>
            </w:pPr>
            <w:r>
              <w:rPr>
                <w:color w:val="auto"/>
                <w:lang w:val="en-US" w:eastAsia="ja-JP"/>
              </w:rPr>
              <w:t>90 MHz</w:t>
            </w:r>
            <w:r>
              <w:rPr>
                <w:rFonts w:hint="eastAsia"/>
                <w:color w:val="auto"/>
                <w:lang w:val="en-US" w:eastAsia="zh-CN"/>
              </w:rPr>
              <w:t xml:space="preserve"> (dB)</w:t>
            </w:r>
          </w:p>
        </w:tc>
        <w:tc>
          <w:tcPr>
            <w:tcW w:w="609" w:type="dxa"/>
          </w:tcPr>
          <w:p>
            <w:pPr>
              <w:pStyle w:val="211"/>
              <w:rPr>
                <w:color w:val="auto"/>
                <w:lang w:val="en-US" w:eastAsia="ja-JP"/>
              </w:rPr>
            </w:pPr>
            <w:r>
              <w:rPr>
                <w:rFonts w:hint="eastAsia"/>
                <w:color w:val="auto"/>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210"/>
              <w:rPr>
                <w:color w:val="auto"/>
                <w:lang w:val="en-US" w:eastAsia="zh-CN"/>
              </w:rPr>
            </w:pPr>
            <w:r>
              <w:rPr>
                <w:color w:val="auto"/>
                <w:lang w:val="en-US" w:eastAsia="zh-CN"/>
              </w:rPr>
              <w:t>n41</w:t>
            </w:r>
          </w:p>
        </w:tc>
        <w:tc>
          <w:tcPr>
            <w:tcW w:w="610" w:type="dxa"/>
            <w:vAlign w:val="center"/>
          </w:tcPr>
          <w:p>
            <w:pPr>
              <w:pStyle w:val="210"/>
              <w:rPr>
                <w:rFonts w:hint="default"/>
                <w:color w:val="auto"/>
                <w:lang w:val="en-US" w:eastAsia="zh-CN"/>
              </w:rPr>
            </w:pPr>
            <w:r>
              <w:rPr>
                <w:rFonts w:hint="eastAsia"/>
                <w:color w:val="auto"/>
                <w:lang w:val="en-US" w:eastAsia="zh-CN"/>
              </w:rPr>
              <w:t>n79</w:t>
            </w: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color w:val="auto"/>
                <w:lang w:val="en-US" w:eastAsia="zh-CN"/>
              </w:rPr>
            </w:pP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color w:val="auto"/>
              </w:rPr>
            </w:pPr>
          </w:p>
        </w:tc>
        <w:tc>
          <w:tcPr>
            <w:tcW w:w="598" w:type="dxa"/>
            <w:vAlign w:val="center"/>
          </w:tcPr>
          <w:p>
            <w:pPr>
              <w:pStyle w:val="210"/>
              <w:rPr>
                <w:rFonts w:hint="default" w:eastAsia="宋体"/>
                <w:color w:val="auto"/>
                <w:lang w:val="en-US" w:eastAsia="zh-CN"/>
              </w:rPr>
            </w:pPr>
            <w:r>
              <w:rPr>
                <w:rFonts w:hint="eastAsia" w:eastAsia="宋体"/>
                <w:color w:val="auto"/>
                <w:lang w:val="en-US" w:eastAsia="zh-CN"/>
              </w:rPr>
              <w:t>3.4</w:t>
            </w:r>
          </w:p>
        </w:tc>
        <w:tc>
          <w:tcPr>
            <w:tcW w:w="598" w:type="dxa"/>
            <w:vAlign w:val="center"/>
          </w:tcPr>
          <w:p>
            <w:pPr>
              <w:pStyle w:val="210"/>
              <w:rPr>
                <w:color w:val="auto"/>
              </w:rPr>
            </w:pPr>
          </w:p>
        </w:tc>
        <w:tc>
          <w:tcPr>
            <w:tcW w:w="609" w:type="dxa"/>
            <w:vAlign w:val="center"/>
          </w:tcPr>
          <w:p>
            <w:pPr>
              <w:pStyle w:val="210"/>
              <w:rPr>
                <w:rFonts w:hint="default" w:eastAsia="宋体"/>
                <w:color w:val="auto"/>
                <w:lang w:val="en-US" w:eastAsia="zh-CN"/>
              </w:rPr>
            </w:pPr>
            <w:r>
              <w:rPr>
                <w:rFonts w:hint="eastAsia" w:eastAsia="宋体"/>
                <w:color w:val="auto"/>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210"/>
              <w:rPr>
                <w:rFonts w:hint="default"/>
                <w:color w:val="auto"/>
                <w:lang w:val="en-US" w:eastAsia="zh-CN"/>
              </w:rPr>
            </w:pPr>
            <w:r>
              <w:rPr>
                <w:color w:val="auto"/>
                <w:lang w:val="en-US" w:eastAsia="zh-CN"/>
              </w:rPr>
              <w:t>n</w:t>
            </w:r>
            <w:r>
              <w:rPr>
                <w:rFonts w:hint="eastAsia"/>
                <w:color w:val="auto"/>
                <w:lang w:val="en-US" w:eastAsia="zh-CN"/>
              </w:rPr>
              <w:t>79</w:t>
            </w:r>
          </w:p>
        </w:tc>
        <w:tc>
          <w:tcPr>
            <w:tcW w:w="610" w:type="dxa"/>
            <w:vAlign w:val="center"/>
          </w:tcPr>
          <w:p>
            <w:pPr>
              <w:pStyle w:val="210"/>
              <w:rPr>
                <w:color w:val="auto"/>
                <w:lang w:val="en-US" w:eastAsia="zh-CN"/>
              </w:rPr>
            </w:pPr>
            <w:r>
              <w:rPr>
                <w:color w:val="auto"/>
                <w:lang w:val="en-US" w:eastAsia="zh-CN"/>
              </w:rPr>
              <w:t>n41</w:t>
            </w:r>
          </w:p>
        </w:tc>
        <w:tc>
          <w:tcPr>
            <w:tcW w:w="598" w:type="dxa"/>
            <w:vAlign w:val="center"/>
          </w:tcPr>
          <w:p>
            <w:pPr>
              <w:pStyle w:val="210"/>
              <w:rPr>
                <w:color w:val="auto"/>
                <w:lang w:val="en-US" w:eastAsia="zh-CN"/>
              </w:rPr>
            </w:pPr>
          </w:p>
        </w:tc>
        <w:tc>
          <w:tcPr>
            <w:tcW w:w="598" w:type="dxa"/>
            <w:vAlign w:val="center"/>
          </w:tcPr>
          <w:p>
            <w:pPr>
              <w:pStyle w:val="210"/>
              <w:rPr>
                <w:rFonts w:hint="default"/>
                <w:color w:val="auto"/>
                <w:lang w:val="en-US" w:eastAsia="zh-CN"/>
              </w:rPr>
            </w:pPr>
            <w:r>
              <w:rPr>
                <w:rFonts w:hint="eastAsia"/>
                <w:color w:val="auto"/>
                <w:lang w:val="en-US" w:eastAsia="zh-CN"/>
              </w:rPr>
              <w:t>3.5</w:t>
            </w:r>
          </w:p>
        </w:tc>
        <w:tc>
          <w:tcPr>
            <w:tcW w:w="598" w:type="dxa"/>
            <w:vAlign w:val="center"/>
          </w:tcPr>
          <w:p>
            <w:pPr>
              <w:pStyle w:val="210"/>
              <w:rPr>
                <w:rFonts w:hint="default"/>
                <w:color w:val="auto"/>
                <w:lang w:val="en-US" w:eastAsia="zh-CN"/>
              </w:rPr>
            </w:pPr>
            <w:r>
              <w:rPr>
                <w:rFonts w:hint="eastAsia"/>
                <w:color w:val="auto"/>
                <w:lang w:val="en-US" w:eastAsia="zh-CN"/>
              </w:rPr>
              <w:t>3.3</w:t>
            </w:r>
          </w:p>
        </w:tc>
        <w:tc>
          <w:tcPr>
            <w:tcW w:w="598" w:type="dxa"/>
            <w:vAlign w:val="center"/>
          </w:tcPr>
          <w:p>
            <w:pPr>
              <w:pStyle w:val="210"/>
              <w:rPr>
                <w:rFonts w:hint="default"/>
                <w:color w:val="auto"/>
                <w:lang w:val="en-US" w:eastAsia="zh-CN"/>
              </w:rPr>
            </w:pPr>
            <w:r>
              <w:rPr>
                <w:rFonts w:hint="eastAsia"/>
                <w:color w:val="auto"/>
                <w:lang w:val="en-US" w:eastAsia="zh-CN"/>
              </w:rPr>
              <w:t>3.2</w:t>
            </w:r>
          </w:p>
        </w:tc>
        <w:tc>
          <w:tcPr>
            <w:tcW w:w="598" w:type="dxa"/>
            <w:vAlign w:val="center"/>
          </w:tcPr>
          <w:p>
            <w:pPr>
              <w:pStyle w:val="210"/>
              <w:rPr>
                <w:color w:val="auto"/>
                <w:lang w:val="en-US" w:eastAsia="zh-CN"/>
              </w:rPr>
            </w:pPr>
          </w:p>
        </w:tc>
        <w:tc>
          <w:tcPr>
            <w:tcW w:w="598" w:type="dxa"/>
            <w:vAlign w:val="center"/>
          </w:tcPr>
          <w:p>
            <w:pPr>
              <w:pStyle w:val="210"/>
              <w:rPr>
                <w:rFonts w:hint="default"/>
                <w:color w:val="auto"/>
                <w:lang w:val="en-US" w:eastAsia="zh-CN"/>
              </w:rPr>
            </w:pPr>
            <w:r>
              <w:rPr>
                <w:rFonts w:hint="eastAsia"/>
                <w:color w:val="auto"/>
                <w:lang w:val="en-US" w:eastAsia="zh-CN"/>
              </w:rPr>
              <w:t>3.0</w:t>
            </w:r>
          </w:p>
        </w:tc>
        <w:tc>
          <w:tcPr>
            <w:tcW w:w="598" w:type="dxa"/>
            <w:vAlign w:val="center"/>
          </w:tcPr>
          <w:p>
            <w:pPr>
              <w:pStyle w:val="210"/>
              <w:rPr>
                <w:rFonts w:hint="default"/>
                <w:color w:val="auto"/>
                <w:lang w:val="en-US"/>
              </w:rPr>
            </w:pPr>
            <w:r>
              <w:rPr>
                <w:rFonts w:hint="eastAsia"/>
                <w:color w:val="auto"/>
                <w:lang w:val="en-US" w:eastAsia="zh-CN"/>
              </w:rPr>
              <w:t>2.9</w:t>
            </w:r>
          </w:p>
        </w:tc>
        <w:tc>
          <w:tcPr>
            <w:tcW w:w="598" w:type="dxa"/>
            <w:vAlign w:val="center"/>
          </w:tcPr>
          <w:p>
            <w:pPr>
              <w:pStyle w:val="210"/>
              <w:rPr>
                <w:rFonts w:hint="default"/>
                <w:color w:val="auto"/>
                <w:lang w:val="en-US"/>
              </w:rPr>
            </w:pPr>
            <w:r>
              <w:rPr>
                <w:rFonts w:hint="eastAsia"/>
                <w:color w:val="auto"/>
                <w:lang w:val="en-US" w:eastAsia="zh-CN"/>
              </w:rPr>
              <w:t>2.8</w:t>
            </w:r>
          </w:p>
        </w:tc>
        <w:tc>
          <w:tcPr>
            <w:tcW w:w="598" w:type="dxa"/>
            <w:vAlign w:val="center"/>
          </w:tcPr>
          <w:p>
            <w:pPr>
              <w:pStyle w:val="210"/>
              <w:rPr>
                <w:rFonts w:hint="default"/>
                <w:color w:val="auto"/>
                <w:lang w:val="en-US"/>
              </w:rPr>
            </w:pPr>
            <w:r>
              <w:rPr>
                <w:rFonts w:hint="eastAsia"/>
                <w:color w:val="auto"/>
                <w:lang w:val="en-US" w:eastAsia="zh-CN"/>
              </w:rPr>
              <w:t>2.7</w:t>
            </w:r>
          </w:p>
        </w:tc>
        <w:tc>
          <w:tcPr>
            <w:tcW w:w="598" w:type="dxa"/>
            <w:vAlign w:val="center"/>
          </w:tcPr>
          <w:p>
            <w:pPr>
              <w:pStyle w:val="210"/>
              <w:rPr>
                <w:color w:val="auto"/>
                <w:lang w:val="en-US" w:eastAsia="zh-CN"/>
              </w:rPr>
            </w:pPr>
          </w:p>
        </w:tc>
        <w:tc>
          <w:tcPr>
            <w:tcW w:w="598" w:type="dxa"/>
            <w:vAlign w:val="center"/>
          </w:tcPr>
          <w:p>
            <w:pPr>
              <w:pStyle w:val="210"/>
              <w:rPr>
                <w:rFonts w:hint="default"/>
                <w:color w:val="auto"/>
                <w:lang w:val="en-US"/>
              </w:rPr>
            </w:pPr>
            <w:r>
              <w:rPr>
                <w:rFonts w:hint="eastAsia"/>
                <w:color w:val="auto"/>
                <w:lang w:val="en-US" w:eastAsia="zh-CN"/>
              </w:rPr>
              <w:t>2.6</w:t>
            </w:r>
          </w:p>
        </w:tc>
        <w:tc>
          <w:tcPr>
            <w:tcW w:w="598" w:type="dxa"/>
            <w:vAlign w:val="center"/>
          </w:tcPr>
          <w:p>
            <w:pPr>
              <w:pStyle w:val="210"/>
              <w:rPr>
                <w:rFonts w:hint="default"/>
                <w:color w:val="auto"/>
                <w:lang w:val="en-US"/>
              </w:rPr>
            </w:pPr>
            <w:r>
              <w:rPr>
                <w:rFonts w:hint="eastAsia"/>
                <w:color w:val="auto"/>
                <w:lang w:val="en-US" w:eastAsia="zh-CN"/>
              </w:rPr>
              <w:t>2.5</w:t>
            </w:r>
          </w:p>
        </w:tc>
        <w:tc>
          <w:tcPr>
            <w:tcW w:w="609" w:type="dxa"/>
            <w:vAlign w:val="center"/>
          </w:tcPr>
          <w:p>
            <w:pPr>
              <w:pStyle w:val="210"/>
              <w:rPr>
                <w:rFonts w:hint="default"/>
                <w:color w:val="auto"/>
                <w:lang w:val="en-US"/>
              </w:rPr>
            </w:pPr>
            <w:r>
              <w:rPr>
                <w:rFonts w:hint="eastAsia"/>
                <w:color w:val="auto"/>
                <w:lang w:val="en-US" w:eastAsia="zh-CN"/>
              </w:rPr>
              <w:t>2.5</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sz w:val="20"/>
          <w:szCs w:val="22"/>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[1] RP-201584 Revised WID: SAR schemes for UE power class 2 (PC2) for NR inter-band Carrier Aggregation and supplemental uplink (SUL) configurations with 2 bands UL, China Telecom</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6988"/>
    <w:rsid w:val="01ED283C"/>
    <w:rsid w:val="01F61B27"/>
    <w:rsid w:val="01FB375F"/>
    <w:rsid w:val="01FB73D0"/>
    <w:rsid w:val="01FC180E"/>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837DE"/>
    <w:rsid w:val="027C24F6"/>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3FF348C"/>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9E20A2"/>
    <w:rsid w:val="05A61B3E"/>
    <w:rsid w:val="05A77370"/>
    <w:rsid w:val="05CE76FB"/>
    <w:rsid w:val="05CF3E3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D07B1"/>
    <w:rsid w:val="088B2800"/>
    <w:rsid w:val="088D3DB3"/>
    <w:rsid w:val="089248A3"/>
    <w:rsid w:val="08A14169"/>
    <w:rsid w:val="08A169E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E041D2C"/>
    <w:rsid w:val="0E084950"/>
    <w:rsid w:val="0E121DB2"/>
    <w:rsid w:val="0E126018"/>
    <w:rsid w:val="0E1271E2"/>
    <w:rsid w:val="0E1B6AEF"/>
    <w:rsid w:val="0E1B7FF1"/>
    <w:rsid w:val="0E1C0D60"/>
    <w:rsid w:val="0E1C6C9C"/>
    <w:rsid w:val="0E1D4EB3"/>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33686"/>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77D55"/>
    <w:rsid w:val="119F2B47"/>
    <w:rsid w:val="11A67383"/>
    <w:rsid w:val="11B05A60"/>
    <w:rsid w:val="11BC664B"/>
    <w:rsid w:val="11BF56EF"/>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5A77"/>
    <w:rsid w:val="135F52DB"/>
    <w:rsid w:val="13614997"/>
    <w:rsid w:val="136A13B4"/>
    <w:rsid w:val="13735FFB"/>
    <w:rsid w:val="13757BE9"/>
    <w:rsid w:val="137D1899"/>
    <w:rsid w:val="137D5093"/>
    <w:rsid w:val="137E369E"/>
    <w:rsid w:val="137E41AF"/>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66932"/>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D4997"/>
    <w:rsid w:val="14A04F69"/>
    <w:rsid w:val="14A10588"/>
    <w:rsid w:val="14A11363"/>
    <w:rsid w:val="14A56052"/>
    <w:rsid w:val="14A87888"/>
    <w:rsid w:val="14AA6172"/>
    <w:rsid w:val="14AC283B"/>
    <w:rsid w:val="14B071EA"/>
    <w:rsid w:val="14BD5CC4"/>
    <w:rsid w:val="14C42409"/>
    <w:rsid w:val="14C510C3"/>
    <w:rsid w:val="14CC3E8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917B6"/>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76A9B"/>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81760"/>
    <w:rsid w:val="18FB7C71"/>
    <w:rsid w:val="1901692F"/>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50EFA"/>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977E2"/>
    <w:rsid w:val="1BDB553A"/>
    <w:rsid w:val="1BDC1FDD"/>
    <w:rsid w:val="1BE00A01"/>
    <w:rsid w:val="1BEC6EEC"/>
    <w:rsid w:val="1BED382A"/>
    <w:rsid w:val="1BED7882"/>
    <w:rsid w:val="1BEF6A59"/>
    <w:rsid w:val="1BF01922"/>
    <w:rsid w:val="1C026BE2"/>
    <w:rsid w:val="1C027BFF"/>
    <w:rsid w:val="1C095057"/>
    <w:rsid w:val="1C0A570F"/>
    <w:rsid w:val="1C10625F"/>
    <w:rsid w:val="1C145A58"/>
    <w:rsid w:val="1C152097"/>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5658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D104C"/>
    <w:rsid w:val="21630F95"/>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07418"/>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347CC"/>
    <w:rsid w:val="28EA0885"/>
    <w:rsid w:val="28F60D2F"/>
    <w:rsid w:val="28FF39FD"/>
    <w:rsid w:val="2905249B"/>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20AFD"/>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01EEF"/>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3F561E"/>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11F5D"/>
    <w:rsid w:val="32D965B1"/>
    <w:rsid w:val="32DE0520"/>
    <w:rsid w:val="32DE651E"/>
    <w:rsid w:val="32E52CFD"/>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029AC"/>
    <w:rsid w:val="365426B9"/>
    <w:rsid w:val="36547E5A"/>
    <w:rsid w:val="36552A5E"/>
    <w:rsid w:val="365B748F"/>
    <w:rsid w:val="365D18E5"/>
    <w:rsid w:val="3661561B"/>
    <w:rsid w:val="36631581"/>
    <w:rsid w:val="36715F50"/>
    <w:rsid w:val="36767FA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A5676A"/>
    <w:rsid w:val="37A6689F"/>
    <w:rsid w:val="37A7162E"/>
    <w:rsid w:val="37A9641A"/>
    <w:rsid w:val="37AC7283"/>
    <w:rsid w:val="37AD2485"/>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0D9E"/>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91D71"/>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4F7814"/>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272DD"/>
    <w:rsid w:val="4097144A"/>
    <w:rsid w:val="40A27041"/>
    <w:rsid w:val="40A84378"/>
    <w:rsid w:val="40AB4BB4"/>
    <w:rsid w:val="40B24A84"/>
    <w:rsid w:val="40BB567D"/>
    <w:rsid w:val="40BF2A94"/>
    <w:rsid w:val="40C103B9"/>
    <w:rsid w:val="40C633D4"/>
    <w:rsid w:val="40C7688B"/>
    <w:rsid w:val="40CD1B60"/>
    <w:rsid w:val="40D0035C"/>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55743"/>
    <w:rsid w:val="439926C0"/>
    <w:rsid w:val="439D2829"/>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745B5C"/>
    <w:rsid w:val="468B66C1"/>
    <w:rsid w:val="469400A8"/>
    <w:rsid w:val="46953C13"/>
    <w:rsid w:val="469B557F"/>
    <w:rsid w:val="469B5775"/>
    <w:rsid w:val="46A15B02"/>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361B1"/>
    <w:rsid w:val="4A246681"/>
    <w:rsid w:val="4A2E3165"/>
    <w:rsid w:val="4A33337A"/>
    <w:rsid w:val="4A375652"/>
    <w:rsid w:val="4A492F58"/>
    <w:rsid w:val="4A504178"/>
    <w:rsid w:val="4A5F3240"/>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042BD"/>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2301C"/>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25D7"/>
    <w:rsid w:val="543A7B51"/>
    <w:rsid w:val="54431413"/>
    <w:rsid w:val="54467196"/>
    <w:rsid w:val="544D270A"/>
    <w:rsid w:val="544E5195"/>
    <w:rsid w:val="544E7341"/>
    <w:rsid w:val="54565AB3"/>
    <w:rsid w:val="54576389"/>
    <w:rsid w:val="54586E42"/>
    <w:rsid w:val="545D7C1E"/>
    <w:rsid w:val="54661107"/>
    <w:rsid w:val="54672CD4"/>
    <w:rsid w:val="547312A9"/>
    <w:rsid w:val="547475CB"/>
    <w:rsid w:val="547A5E91"/>
    <w:rsid w:val="54847E03"/>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46A09"/>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74377"/>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810F21"/>
    <w:rsid w:val="5A8201E3"/>
    <w:rsid w:val="5A943561"/>
    <w:rsid w:val="5A947EF0"/>
    <w:rsid w:val="5A9545E6"/>
    <w:rsid w:val="5A96253C"/>
    <w:rsid w:val="5A9A1811"/>
    <w:rsid w:val="5AA45DD1"/>
    <w:rsid w:val="5AA86E5A"/>
    <w:rsid w:val="5AAA67C9"/>
    <w:rsid w:val="5AAE12B9"/>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910A1"/>
    <w:rsid w:val="5C8E4CB9"/>
    <w:rsid w:val="5C915347"/>
    <w:rsid w:val="5CB70F5B"/>
    <w:rsid w:val="5CBE6A7F"/>
    <w:rsid w:val="5CC03AD8"/>
    <w:rsid w:val="5CC13B5F"/>
    <w:rsid w:val="5CC350B6"/>
    <w:rsid w:val="5CC40640"/>
    <w:rsid w:val="5CC5501F"/>
    <w:rsid w:val="5CCD5AF3"/>
    <w:rsid w:val="5CD87406"/>
    <w:rsid w:val="5CDB61B3"/>
    <w:rsid w:val="5CE12FA2"/>
    <w:rsid w:val="5CE37A0C"/>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75B90"/>
    <w:rsid w:val="5E490299"/>
    <w:rsid w:val="5E4B6995"/>
    <w:rsid w:val="5E4F7336"/>
    <w:rsid w:val="5E531698"/>
    <w:rsid w:val="5E5C65F2"/>
    <w:rsid w:val="5E625316"/>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DE43FC"/>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A6076"/>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267049"/>
    <w:rsid w:val="67333E25"/>
    <w:rsid w:val="6737473D"/>
    <w:rsid w:val="673F566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531394"/>
    <w:rsid w:val="6E617CA9"/>
    <w:rsid w:val="6E6C32CD"/>
    <w:rsid w:val="6E6F4755"/>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607E8"/>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9741A"/>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662C5"/>
    <w:rsid w:val="75B7184F"/>
    <w:rsid w:val="75C14F57"/>
    <w:rsid w:val="75CD7D4D"/>
    <w:rsid w:val="75D44B9C"/>
    <w:rsid w:val="75D6554E"/>
    <w:rsid w:val="75D9472D"/>
    <w:rsid w:val="75E4155A"/>
    <w:rsid w:val="75EE6F2A"/>
    <w:rsid w:val="75F32161"/>
    <w:rsid w:val="75F62085"/>
    <w:rsid w:val="75FE0748"/>
    <w:rsid w:val="76015723"/>
    <w:rsid w:val="76054065"/>
    <w:rsid w:val="760A0B3F"/>
    <w:rsid w:val="76105091"/>
    <w:rsid w:val="76137111"/>
    <w:rsid w:val="76160B37"/>
    <w:rsid w:val="76240809"/>
    <w:rsid w:val="76284A99"/>
    <w:rsid w:val="762B0A64"/>
    <w:rsid w:val="762F06D8"/>
    <w:rsid w:val="76330CEC"/>
    <w:rsid w:val="76347E97"/>
    <w:rsid w:val="763E49DF"/>
    <w:rsid w:val="763F2481"/>
    <w:rsid w:val="765510D9"/>
    <w:rsid w:val="76634ABB"/>
    <w:rsid w:val="76685A5F"/>
    <w:rsid w:val="766E149C"/>
    <w:rsid w:val="76704A90"/>
    <w:rsid w:val="76710F59"/>
    <w:rsid w:val="76731704"/>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C2184"/>
    <w:rsid w:val="7B2D37CA"/>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C0090"/>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64CC4"/>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2020-10-23T09:11:38Z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